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Accertamenti tributari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nell'insieme degli atti che la Pubblica amministrazione attua per assicurare l'attuazione delle norme impositive.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L'avviso di accertamento e' un atto emesso da</w:t>
            </w:r>
            <w:r>
              <w:rPr>
                <w:rFonts w:ascii="Arial" w:hAnsi="Arial"/>
              </w:rPr>
              <w:t>l Settore competente, nel caso di: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- omessa o infedele denuncia e conseguente parziale o mancato pagamento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- parziale o mancato pagamento in presenza di regolare denuncia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Leggi finanziarie annuali - D.Lgs. 504/1992 - D.L. 201/2011 - L. 296/2006 - L. 126/2008 - L. 212/2000 (Statuto del contribuente) - Regolamento generale delle entrate comunali - D.Lgs. 23/2011 - L. 662/1996 - Decreti legislativi di riforma delle sanzioni tributarie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FB32C9" w:rsidRDefault="00FB32C9" w:rsidP="00FB32C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C736D0" w:rsidRDefault="00FB32C9" w:rsidP="00FB32C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736D0" w:rsidRDefault="00FB32C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B32C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736D0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32C9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12D05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2026-06-12T19:35:00Z</dcterms:modified>
</cp:coreProperties>
</file>